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3CF" w:rsidRDefault="00B52691">
      <w:pPr>
        <w:pStyle w:val="ConsPlusTitle"/>
        <w:jc w:val="right"/>
        <w:rPr>
          <w:rFonts w:ascii="PT Astra Serif" w:hAnsi="PT Astra Serif"/>
        </w:rPr>
      </w:pPr>
      <w:bookmarkStart w:id="0" w:name="_GoBack"/>
      <w:bookmarkEnd w:id="0"/>
      <w:r>
        <w:rPr>
          <w:rFonts w:ascii="PT Astra Serif" w:hAnsi="PT Astra Serif"/>
        </w:rPr>
        <w:t>ПРОЕКТ</w:t>
      </w:r>
    </w:p>
    <w:p w:rsidR="001C43CF" w:rsidRDefault="001C43CF">
      <w:pPr>
        <w:pStyle w:val="ConsPlusTitle"/>
        <w:jc w:val="right"/>
        <w:rPr>
          <w:rFonts w:ascii="PT Astra Serif" w:hAnsi="PT Astra Serif"/>
        </w:rPr>
      </w:pPr>
    </w:p>
    <w:p w:rsidR="001C43CF" w:rsidRDefault="001C43CF">
      <w:pPr>
        <w:spacing w:after="0" w:line="240" w:lineRule="auto"/>
        <w:jc w:val="center"/>
        <w:rPr>
          <w:rFonts w:ascii="PT Astra Serif" w:hAnsi="PT Astra Serif" w:cs="PT Astra Serif"/>
          <w:bCs/>
          <w:lang w:eastAsia="ru-RU"/>
        </w:rPr>
      </w:pPr>
    </w:p>
    <w:p w:rsidR="001C43CF" w:rsidRPr="00E8432E" w:rsidRDefault="00B52691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  <w:lang w:eastAsia="ru-RU"/>
        </w:rPr>
      </w:pPr>
      <w:r w:rsidRPr="00E8432E">
        <w:rPr>
          <w:rFonts w:ascii="PT Astra Serif" w:hAnsi="PT Astra Serif" w:cs="PT Astra Serif"/>
          <w:b/>
          <w:bCs/>
          <w:sz w:val="26"/>
          <w:szCs w:val="26"/>
          <w:lang w:eastAsia="ru-RU"/>
        </w:rPr>
        <w:t>ПОРЯДОК</w:t>
      </w:r>
    </w:p>
    <w:p w:rsidR="001C43CF" w:rsidRPr="00E8432E" w:rsidRDefault="00B52691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  <w:lang w:eastAsia="ru-RU"/>
        </w:rPr>
      </w:pPr>
      <w:r w:rsidRPr="00E8432E">
        <w:rPr>
          <w:rFonts w:ascii="PT Astra Serif" w:hAnsi="PT Astra Serif" w:cs="PT Astra Serif"/>
          <w:b/>
          <w:bCs/>
          <w:sz w:val="26"/>
          <w:szCs w:val="26"/>
          <w:lang w:eastAsia="ru-RU"/>
        </w:rPr>
        <w:t>ПРЕДОСТАВЛЕНИЯ И РАСПРЕДЕЛЕНИЯ СУБСИДИЙ ИЗ ОБЛАСТНОГО</w:t>
      </w:r>
    </w:p>
    <w:p w:rsidR="001C43CF" w:rsidRPr="00E8432E" w:rsidRDefault="00B52691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  <w:lang w:eastAsia="ru-RU"/>
        </w:rPr>
      </w:pPr>
      <w:r w:rsidRPr="00E8432E">
        <w:rPr>
          <w:rFonts w:ascii="PT Astra Serif" w:hAnsi="PT Astra Serif" w:cs="PT Astra Serif"/>
          <w:b/>
          <w:bCs/>
          <w:sz w:val="26"/>
          <w:szCs w:val="26"/>
          <w:lang w:eastAsia="ru-RU"/>
        </w:rPr>
        <w:t>БЮДЖЕТА МЕСТНЫМ БЮДЖЕТАМ НА ПРОВЕДЕНИЕ КОМПЛЕКСНЫХ</w:t>
      </w:r>
    </w:p>
    <w:p w:rsidR="001C43CF" w:rsidRPr="00E8432E" w:rsidRDefault="00B52691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  <w:lang w:eastAsia="ru-RU"/>
        </w:rPr>
      </w:pPr>
      <w:r w:rsidRPr="00E8432E">
        <w:rPr>
          <w:rFonts w:ascii="PT Astra Serif" w:hAnsi="PT Astra Serif" w:cs="PT Astra Serif"/>
          <w:b/>
          <w:bCs/>
          <w:sz w:val="26"/>
          <w:szCs w:val="26"/>
          <w:lang w:eastAsia="ru-RU"/>
        </w:rPr>
        <w:t>КАДАСТРОВЫХ РАБОТ НА ТЕРРИТОРИИ ТОМСКОЙ ОБЛАСТИ</w:t>
      </w:r>
    </w:p>
    <w:p w:rsidR="001C43CF" w:rsidRPr="00E8432E" w:rsidRDefault="001C43CF">
      <w:pPr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eastAsia="ru-RU"/>
        </w:rPr>
      </w:pP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1. Настоящий Порядок устанавливает правила предоставления и распределения субсидии из областного бюджета местным бюджетам 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  <w:highlight w:val="white"/>
        </w:rPr>
        <w:t>муниципальных образований Томской области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на софинансирование расходных обязательств муниципального образования Томской области, возникающих при проведении комплексных кадастровых работ на территории Томской области (далее - субсидия).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2. Целью предоставления субсидии является софинансирование расходных обязательств муниципальных образований Томской области, возникающих при проведении комплексных кадастровых работ местного значения на территории Томской области.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3. Субсидия распределяется между муниципальными образованиями Томской области 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  <w:highlight w:val="white"/>
        </w:rPr>
        <w:t xml:space="preserve">на очередной финансовый год 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в пределах бюджетных ассигнований, предусмотренных на предоставление субсидии законом Томской области об областном бюджете на очередной финансовый год и плановый период (далее - закон об областном бюджете).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4. Распределение субсидии утверждается законом об областном бюджете.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5. Критерии отбора муниципальных образований для предоставления субсидии: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1) наличие потребности муниципального образования Томской области в проведении в очередном финансовом году и (или) плановом периоде комплексных кадастровых работ на территории Томской области в границах кадастровых кварталов, подтвержденной органом местного самоуправления муниципального образования Томской области, органом регистрации прав и (или) подведомственным органу регистрации прав государственным учреждением;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2) гарантийное письмо муниципального образования Томской области о софинансировании проведения комплексных кадастровых работ на территории Томской области из местного бюджета в объеме, необходимом для соблюдения предельного уровня софинансирования, установленного </w:t>
      </w:r>
      <w:hyperlink w:anchor="P22" w:tooltip="7. Предельный уровень софинансирования Томской областью объема расходного обязательства муниципального образования Томской области, в целях софинансирования которого предоставляется субсидия, составляет 99 процентов от стоимости проведения комплексных кадастро" w:history="1">
        <w:r w:rsidRPr="00E8432E">
          <w:rPr>
            <w:rFonts w:ascii="PT Astra Serif" w:eastAsia="PT Astra Serif" w:hAnsi="PT Astra Serif" w:cs="PT Astra Serif"/>
            <w:color w:val="000000"/>
            <w:sz w:val="26"/>
            <w:szCs w:val="26"/>
          </w:rPr>
          <w:t>пунктом 7</w:t>
        </w:r>
      </w:hyperlink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настоящего Порядка;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3) наличие в отношении кадастровых кварталов, в границах которых предполагается проведение комплексных кадастровых работ на территории Томской области, документов, предусмотренных частью 6 статьи 42.1 Федерального закона от 24 июля 2007 года № 221-ФЗ </w:t>
      </w:r>
      <w:r w:rsidR="00E8432E"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«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О кадастровой деятельности</w:t>
      </w:r>
      <w:r w:rsidR="00E8432E"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»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, в случаях, предусмотренных указанной статьей.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6. Условия предоставления субсидии: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муниципальных образований Томской области, в целях софинансирования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2) наличие муниципального правового акта, устанавливающего расходное обязательство муниципального образования Томской области на проведение 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lastRenderedPageBreak/>
        <w:t>комплексных кадастровых работ на территории Томской области;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3) заключение с органом местного самоуправления муниципального образования Томской области соглашения о предоставлении субсидии (далее - соглашение), предусматривающего обязательства муниципального образования Томской области по исполнению расходных обязательств, в целях софинансирования которых предоставляется субсидия, и ответственность за неисполнение предусмотренных соглашением обязательств.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7. Предельный уровень софинансирования Томской областью объема расходного обязательства муниципального образования Томской области, в целях софинансирования которого предоставляется субсидия, составляет 99 процентов от стоимости проведения комплексных кадастровых работ на территории муниципального образования, уровень софинансирования из местного бюджета - не менее 1 процента от стоимости проведения комплексных кадастровых работ на территории муниципального образования.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8. Методика расчета субсидии местным бюджетам в целях проведения комплексных кадастровых работ на территории Томской области: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1) расчет субсидии, предоставляемой бюджету i-го муниципального образования 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  <w:highlight w:val="white"/>
        </w:rPr>
        <w:t>на очередной финансовый год,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осуществляется по следующей формуле:</w:t>
      </w:r>
    </w:p>
    <w:p w:rsidR="001C43CF" w:rsidRPr="00E8432E" w:rsidRDefault="001C43CF">
      <w:pPr>
        <w:pStyle w:val="ConsPlusNormal"/>
        <w:spacing w:line="283" w:lineRule="atLeast"/>
        <w:jc w:val="both"/>
        <w:rPr>
          <w:rFonts w:ascii="PT Astra Serif" w:hAnsi="PT Astra Serif" w:cs="PT Astra Serif"/>
          <w:color w:val="000000"/>
          <w:sz w:val="26"/>
          <w:szCs w:val="26"/>
        </w:rPr>
      </w:pPr>
    </w:p>
    <w:p w:rsidR="001C43CF" w:rsidRPr="00E8432E" w:rsidRDefault="00B52691">
      <w:pPr>
        <w:pStyle w:val="ConsPlusNormal"/>
        <w:spacing w:line="283" w:lineRule="atLeast"/>
        <w:jc w:val="center"/>
        <w:rPr>
          <w:rFonts w:ascii="PT Astra Serif" w:hAnsi="PT Astra Serif" w:cs="PT Astra Serif"/>
          <w:color w:val="000000"/>
          <w:sz w:val="26"/>
          <w:szCs w:val="26"/>
          <w:lang w:val="en-US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  <w:lang w:val="en-US"/>
        </w:rPr>
        <w:t xml:space="preserve">Vi = Mi x N x k, 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где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  <w:lang w:val="en-US"/>
        </w:rPr>
        <w:t>:</w:t>
      </w:r>
    </w:p>
    <w:p w:rsidR="001C43CF" w:rsidRPr="00E8432E" w:rsidRDefault="001C43CF">
      <w:pPr>
        <w:pStyle w:val="ConsPlusNormal"/>
        <w:spacing w:line="283" w:lineRule="atLeast"/>
        <w:jc w:val="both"/>
        <w:rPr>
          <w:rFonts w:ascii="PT Astra Serif" w:hAnsi="PT Astra Serif" w:cs="PT Astra Serif"/>
          <w:color w:val="000000"/>
          <w:sz w:val="26"/>
          <w:szCs w:val="26"/>
          <w:lang w:val="en-US"/>
        </w:rPr>
      </w:pP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Мi - количество объектов комплексных кадастровых работ местного значения, в отношении которых планируется проведение комплексных кадастровых работ местного значения на территории i-го муниципального образования Томской области, шт.;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N - стоимость проведения комплексных кадастровых работ местного значения в отношении одного объекта недвижимости, рассчитанная посредством проведения анализа средней стоимости таких работ в отношении одного объекта недвижимости, сложившейся по результатам проведения комплексных кадастровых работ за три предыдущих года на территории Томской области, руб.;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k - уровень софинансирования Томской областью объема расходного обязательства муниципального образования Томской области, в целях софинансирования которого предоставляется субсидия, величина которого &lt;= 0,99;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2) расчет общего объема субсидии (V) 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  <w:highlight w:val="white"/>
        </w:rPr>
        <w:t xml:space="preserve">на очередной финансовый год 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осуществляется по следующей формуле:</w:t>
      </w:r>
    </w:p>
    <w:p w:rsidR="001C43CF" w:rsidRPr="00E8432E" w:rsidRDefault="001C43CF">
      <w:pPr>
        <w:pStyle w:val="ConsPlusNormal"/>
        <w:spacing w:line="283" w:lineRule="atLeast"/>
        <w:jc w:val="both"/>
        <w:rPr>
          <w:rFonts w:ascii="PT Astra Serif" w:hAnsi="PT Astra Serif" w:cs="PT Astra Serif"/>
          <w:color w:val="000000"/>
          <w:sz w:val="26"/>
          <w:szCs w:val="26"/>
        </w:rPr>
      </w:pPr>
    </w:p>
    <w:p w:rsidR="001C43CF" w:rsidRPr="00E8432E" w:rsidRDefault="00B52691">
      <w:pPr>
        <w:pStyle w:val="ConsPlusNormal"/>
        <w:spacing w:line="283" w:lineRule="atLeast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hAnsi="PT Astra Serif" w:cs="PT Astra Serif"/>
          <w:color w:val="000000"/>
          <w:sz w:val="26"/>
          <w:szCs w:val="26"/>
        </w:rPr>
        <w:t xml:space="preserve">V= </w:t>
      </w:r>
      <w:r w:rsidR="00E8432E" w:rsidRPr="00B52691">
        <w:rPr>
          <w:rFonts w:ascii="PT Astra Serif" w:hAnsi="PT Astra Serif" w:cs="PT Astra Serif"/>
          <w:color w:val="000000"/>
          <w:sz w:val="26"/>
          <w:szCs w:val="26"/>
        </w:rPr>
        <w:fldChar w:fldCharType="begin"/>
      </w:r>
      <w:r w:rsidR="00E8432E" w:rsidRPr="00B52691">
        <w:rPr>
          <w:rFonts w:ascii="PT Astra Serif" w:hAnsi="PT Astra Serif" w:cs="PT Astra Serif"/>
          <w:color w:val="000000"/>
          <w:sz w:val="26"/>
          <w:szCs w:val="26"/>
        </w:rPr>
        <w:instrText xml:space="preserve"> QUOTE </w:instrText>
      </w:r>
      <w:r w:rsidR="001863BE">
        <w:rPr>
          <w:position w:val="-1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pt;height:23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C43CF&quot;/&gt;&lt;wsp:rsid wsp:val=&quot;001C43CF&quot;/&gt;&lt;wsp:rsid wsp:val=&quot;001E1DAE&quot;/&gt;&lt;wsp:rsid wsp:val=&quot;00E8432E&quot;/&gt;&lt;/wsp:rsids&gt;&lt;/w:docPr&gt;&lt;w:body&gt;&lt;wx:sect&gt;&lt;w:p wsp:rsidR=&quot;00000000&quot; wsp:rsidRDefault=&quot;001E1DAE&quot; wsp:rsidP=&quot;001E1DAE&quot;&gt;&lt;m:oMathPara&gt;&lt;m:oMath&gt;&lt;m:nary&gt;&lt;m:naryPr&gt;&lt;m:chr m:val=&quot;в€‘&quot;/&gt;&lt;m:subHide m:val=&quot;1&quot;/&gt;&lt;m:supHide m:val=&quot;1&quot;/&gt;&lt;m:ctrlPr&gt;&lt;w:rPr&gt;&lt;w:rFonts w:ascii=&quot;Cambria Math&quot; w:fareast=&quot;Cambria Math&quot; w:h-ansi=&quot;Cambria Math&quot; w:cs=&quot;Cambria Math&quot;/&gt;&lt;wx:font wx:val=&quot;Cambria Math&quot;/&gt;&lt;w:color w:val=&quot;000000&quot;/&gt;&lt;w:sz w:val=&quot;26&quot;/&gt;&lt;w:sz-cs w:val=&quot;26&quot;/&gt;&lt;/w:rPr&gt;&lt;/m:ctrlPr&gt;&lt;/m:naryPr&gt;&lt;m:sub/&gt;&lt;m:sup/&gt;&lt;m:e&gt;&lt;m:eqArr&gt;&lt;m:eqArrPr&gt;&lt;m:ctrlPr&gt;&lt;w:rPr&gt;&lt;w:rFonts w:ascii=&quot;Cambria Math&quot; w:fareast=&quot;Cambria Math&quot; w:h-ansi=&quot;Cambria Math&quot; w:cs=&quot;Cambria Math&quot;/&gt;&lt;wx:font wx:val=&quot;Cambria Math&quot;/&gt;&lt;w:color w:val=&quot;000000&quot;/&gt;&lt;w:sz w:val=&quot;26&quot;/&gt;&lt;w:sz-cs w:val=&quot;26&quot;/&gt;&lt;/w:rPr&gt;&lt;/m:ctrlPr&gt;&lt;/m:eqArrPr&gt;&lt;m:e&gt;&lt;m:r&gt;&lt;w:rPr&gt;&lt;w:rFonts w:ascii=&quot;Cambria Math&quot; w:fareast=&quot;Cambria Math&quot; w:h-ansi=&quot;Cambria Math&quot; w:cs=&quot;Cambria Math&quot;/&gt;&lt;wx:font wx:val=&quot;Cambria Math&quot;/&gt;&lt;w:i/&gt;&lt;w:color w:val=&quot;000000&quot;/&gt;&lt;w:sz w:val=&quot;26&quot;/&gt;&lt;w:sz-cs w:val=&quot;26&quot;/&gt;&lt;/w:rPr&gt;&lt;m:t&gt;n&lt;/m:t&gt;&lt;/m:r&gt;&lt;/m:e&gt;&lt;m:e&gt;&lt;m:r&gt;&lt;w:rPr&gt;&lt;w:rFonts w:ascii=&quot;Cambria Math&quot; w:fareast=&quot;Cambria Math&quot; w:h-ansi=&quot;Cambria Math&quot; w:cs=&quot;Cambria Math&quot;/&gt;&lt;wx:font wx:val=&quot;Cambria Math&quot;/&gt;&lt;w:i/&gt;&lt;w:color w:val=&quot;000000&quot;/&gt;&lt;w:sz w:val=&quot;26&quot;/&gt;&lt;w:sz-cs w:val=&quot;26&quot;/&gt;&lt;/w:rPr&gt;&lt;m:t&gt;i=1&lt;/m:t&gt;&lt;/m:r&gt;&lt;/m:e&gt;&lt;/m:eqAr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E8432E" w:rsidRPr="00B52691">
        <w:rPr>
          <w:rFonts w:ascii="PT Astra Serif" w:hAnsi="PT Astra Serif" w:cs="PT Astra Serif"/>
          <w:color w:val="000000"/>
          <w:sz w:val="26"/>
          <w:szCs w:val="26"/>
        </w:rPr>
        <w:instrText xml:space="preserve"> </w:instrText>
      </w:r>
      <w:r w:rsidR="00E8432E" w:rsidRPr="00B52691">
        <w:rPr>
          <w:rFonts w:ascii="PT Astra Serif" w:hAnsi="PT Astra Serif" w:cs="PT Astra Serif"/>
          <w:color w:val="000000"/>
          <w:sz w:val="26"/>
          <w:szCs w:val="26"/>
        </w:rPr>
        <w:fldChar w:fldCharType="separate"/>
      </w:r>
      <w:r w:rsidR="001863BE">
        <w:rPr>
          <w:position w:val="-15"/>
        </w:rPr>
        <w:pict>
          <v:shape id="_x0000_i1026" type="#_x0000_t75" style="width:39.9pt;height:23.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4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C43CF&quot;/&gt;&lt;wsp:rsid wsp:val=&quot;001C43CF&quot;/&gt;&lt;wsp:rsid wsp:val=&quot;001E1DAE&quot;/&gt;&lt;wsp:rsid wsp:val=&quot;00E8432E&quot;/&gt;&lt;/wsp:rsids&gt;&lt;/w:docPr&gt;&lt;w:body&gt;&lt;wx:sect&gt;&lt;w:p wsp:rsidR=&quot;00000000&quot; wsp:rsidRDefault=&quot;001E1DAE&quot; wsp:rsidP=&quot;001E1DAE&quot;&gt;&lt;m:oMathPara&gt;&lt;m:oMath&gt;&lt;m:nary&gt;&lt;m:naryPr&gt;&lt;m:chr m:val=&quot;в€‘&quot;/&gt;&lt;m:subHide m:val=&quot;1&quot;/&gt;&lt;m:supHide m:val=&quot;1&quot;/&gt;&lt;m:ctrlPr&gt;&lt;w:rPr&gt;&lt;w:rFonts w:ascii=&quot;Cambria Math&quot; w:fareast=&quot;Cambria Math&quot; w:h-ansi=&quot;Cambria Math&quot; w:cs=&quot;Cambria Math&quot;/&gt;&lt;wx:font wx:val=&quot;Cambria Math&quot;/&gt;&lt;w:color w:val=&quot;000000&quot;/&gt;&lt;w:sz w:val=&quot;26&quot;/&gt;&lt;w:sz-cs w:val=&quot;26&quot;/&gt;&lt;/w:rPr&gt;&lt;/m:ctrlPr&gt;&lt;/m:naryPr&gt;&lt;m:sub/&gt;&lt;m:sup/&gt;&lt;m:e&gt;&lt;m:eqArr&gt;&lt;m:eqArrPr&gt;&lt;m:ctrlPr&gt;&lt;w:rPr&gt;&lt;w:rFonts w:ascii=&quot;Cambria Math&quot; w:fareast=&quot;Cambria Math&quot; w:h-ansi=&quot;Cambria Math&quot; w:cs=&quot;Cambria Math&quot;/&gt;&lt;wx:font wx:val=&quot;Cambria Math&quot;/&gt;&lt;w:color w:val=&quot;000000&quot;/&gt;&lt;w:sz w:val=&quot;26&quot;/&gt;&lt;w:sz-cs w:val=&quot;26&quot;/&gt;&lt;/w:rPr&gt;&lt;/m:ctrlPr&gt;&lt;/m:eqArrPr&gt;&lt;m:e&gt;&lt;m:r&gt;&lt;w:rPr&gt;&lt;w:rFonts w:ascii=&quot;Cambria Math&quot; w:fareast=&quot;Cambria Math&quot; w:h-ansi=&quot;Cambria Math&quot; w:cs=&quot;Cambria Math&quot;/&gt;&lt;wx:font wx:val=&quot;Cambria Math&quot;/&gt;&lt;w:i/&gt;&lt;w:color w:val=&quot;000000&quot;/&gt;&lt;w:sz w:val=&quot;26&quot;/&gt;&lt;w:sz-cs w:val=&quot;26&quot;/&gt;&lt;/w:rPr&gt;&lt;m:t&gt;n&lt;/m:t&gt;&lt;/m:r&gt;&lt;/m:e&gt;&lt;m:e&gt;&lt;m:r&gt;&lt;w:rPr&gt;&lt;w:rFonts w:ascii=&quot;Cambria Math&quot; w:fareast=&quot;Cambria Math&quot; w:h-ansi=&quot;Cambria Math&quot; w:cs=&quot;Cambria Math&quot;/&gt;&lt;wx:font wx:val=&quot;Cambria Math&quot;/&gt;&lt;w:i/&gt;&lt;w:color w:val=&quot;000000&quot;/&gt;&lt;w:sz w:val=&quot;26&quot;/&gt;&lt;w:sz-cs w:val=&quot;26&quot;/&gt;&lt;/w:rPr&gt;&lt;m:t&gt;i=1&lt;/m:t&gt;&lt;/m:r&gt;&lt;/m:e&gt;&lt;/m:eqAr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8" o:title="" chromakey="white"/>
          </v:shape>
        </w:pict>
      </w:r>
      <w:r w:rsidR="00E8432E" w:rsidRPr="00B52691">
        <w:rPr>
          <w:rFonts w:ascii="PT Astra Serif" w:hAnsi="PT Astra Serif" w:cs="PT Astra Serif"/>
          <w:color w:val="000000"/>
          <w:sz w:val="26"/>
          <w:szCs w:val="26"/>
        </w:rPr>
        <w:fldChar w:fldCharType="end"/>
      </w:r>
      <w:r w:rsidRPr="00E8432E">
        <w:rPr>
          <w:rFonts w:ascii="PT Astra Serif" w:hAnsi="PT Astra Serif" w:cs="PT Astra Serif"/>
          <w:color w:val="000000"/>
          <w:sz w:val="26"/>
          <w:szCs w:val="26"/>
        </w:rPr>
        <w:t xml:space="preserve">  Vi, где</w:t>
      </w:r>
    </w:p>
    <w:p w:rsidR="001C43CF" w:rsidRPr="00E8432E" w:rsidRDefault="001C43CF">
      <w:pPr>
        <w:pStyle w:val="ConsPlusNormal"/>
        <w:spacing w:line="283" w:lineRule="atLeast"/>
        <w:jc w:val="both"/>
        <w:rPr>
          <w:rFonts w:ascii="PT Astra Serif" w:hAnsi="PT Astra Serif" w:cs="PT Astra Serif"/>
          <w:color w:val="000000"/>
          <w:sz w:val="26"/>
          <w:szCs w:val="26"/>
        </w:rPr>
      </w:pP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i = 1,... n - количество муниципальных образований Томской области, которым предоставляется субсидия.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9. Показателем результата использования субсидии является количество объектов недвижимости в кадастровых кварталах, сведения о которых внесены в Единый государственный реестр недвижимости по результатам проведения комплексных кадастровых работ, единиц.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Значения показателя результата использования субсидии устанавливаются 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lastRenderedPageBreak/>
        <w:t>соглашением.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10. Для предоставления субсидии органы местного самоуправления муниципальных образований Томской области представляют в Департамент по управлению государственной собственностью Томской области (далее - Департамент) заявку муниципального образования Томской области о предоставлении субсидии по форме, установленной распоряжением Департамента, с приложением документов, подтверждающих соответствие муниципального образования Томской области критериям, установленным в </w:t>
      </w:r>
      <w:hyperlink w:anchor="P14" w:tooltip="5. Критерии отбора муниципальных образований для предоставления субсидии:" w:history="1">
        <w:r w:rsidRPr="00E8432E">
          <w:rPr>
            <w:rFonts w:ascii="PT Astra Serif" w:eastAsia="PT Astra Serif" w:hAnsi="PT Astra Serif" w:cs="PT Astra Serif"/>
            <w:color w:val="000000"/>
            <w:sz w:val="26"/>
            <w:szCs w:val="26"/>
          </w:rPr>
          <w:t>пункте 5</w:t>
        </w:r>
      </w:hyperlink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настоящего Порядка (далее - документы на предоставление субсидии).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11. Срок представления документов на предоставление субсидии - до 1 октября года, предшествующего году предоставления субсидии.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В случае изменения объема бюджетных ассигнований, предусмотренных в областном бюджете на проведение комплексных кадастровых работ на территории Томской области, муниципальные образования подают уточняющие документы на предоставление субсидии в срок до 1 декабря года, предшествующего году предоставления субсидии, в соответствии с настоящим Порядком.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12. Департамент регистрирует документы на предоставление субсидии в день поступления, рассматривает представленные документы на предоставление субсидии и по результатам рассмотрения документов на предоставление субсидии принимает решение о предоставлении субсидии или об отказе в предоставлении субсидии.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bookmarkStart w:id="1" w:name="undefined"/>
      <w:bookmarkEnd w:id="1"/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13. Департамент принимает решение об отказе в предоставлении субсидии при наличии хотя бы одного из следующих оснований: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1) несоответствие муниципального образования Томской области критериям, установленным в </w:t>
      </w:r>
      <w:hyperlink w:anchor="P14" w:tooltip="5. Критерии отбора муниципальных образований для предоставления субсидии:" w:history="1">
        <w:r w:rsidRPr="00E8432E">
          <w:rPr>
            <w:rFonts w:ascii="PT Astra Serif" w:eastAsia="PT Astra Serif" w:hAnsi="PT Astra Serif" w:cs="PT Astra Serif"/>
            <w:color w:val="000000"/>
            <w:sz w:val="26"/>
            <w:szCs w:val="26"/>
          </w:rPr>
          <w:t>пункте 5</w:t>
        </w:r>
      </w:hyperlink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настоящего Порядка;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2) несоответствие заявки муниципального образования Томской области о предоставлении субсидии требованию к форме, установленному в </w:t>
      </w:r>
      <w:hyperlink w:anchor="P38" w:tooltip="10. Для предоставления субсидии органы местного самоуправления муниципальных образований Томской области представляют в Департамент по управлению государственной собственностью Томской области (далее - Департамент) заявку муниципального образования Томской обл" w:history="1">
        <w:r w:rsidRPr="00E8432E">
          <w:rPr>
            <w:rFonts w:ascii="PT Astra Serif" w:eastAsia="PT Astra Serif" w:hAnsi="PT Astra Serif" w:cs="PT Astra Serif"/>
            <w:color w:val="000000"/>
            <w:sz w:val="26"/>
            <w:szCs w:val="26"/>
          </w:rPr>
          <w:t>пункте 10</w:t>
        </w:r>
      </w:hyperlink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настоящего Порядка;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3) нарушение срока представления документов на предоставление субсидии, установленного в </w:t>
      </w:r>
      <w:hyperlink w:anchor="P39" w:tooltip="11. Срок представления документов на предоставление субсидии - до 1 октября года, предшествующего году предоставления субсидии, в 2025 году - до 10 февраля 2025 года." w:history="1">
        <w:r w:rsidRPr="00E8432E">
          <w:rPr>
            <w:rFonts w:ascii="PT Astra Serif" w:eastAsia="PT Astra Serif" w:hAnsi="PT Astra Serif" w:cs="PT Astra Serif"/>
            <w:color w:val="000000"/>
            <w:sz w:val="26"/>
            <w:szCs w:val="26"/>
          </w:rPr>
          <w:t>пункте 11</w:t>
        </w:r>
      </w:hyperlink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настоящего Порядка;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4) противоречие сведений, содержащихся в документах на предоставление субсидии, друг другу либо сведениям, содержащимся в других документах и информационных ресурсах, которые находятся в распоряжении Департамента.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14. В случае принятия решения об отказе в предоставлении субсидии Департамент не позднее семи рабочих дней с даты поступления документов на предоставление субсидии в Департамент направляет в орган местного самоуправления муниципального образования Томской области, представивший документы на предоставление субсидии, уведомление об отказе в предоставлении субсидии с указанием основания (оснований) принятия решения об отказе в предоставлении субсидии.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15. Департамент при отсутствии оснований, предусмотренных </w:t>
      </w:r>
      <w:hyperlink w:anchor="P42" w:tooltip="13. Департамент принимает решение об отказе в предоставлении субсидии при наличии хотя бы одного из следующих оснований:" w:history="1">
        <w:r w:rsidRPr="00E8432E">
          <w:rPr>
            <w:rFonts w:ascii="PT Astra Serif" w:eastAsia="PT Astra Serif" w:hAnsi="PT Astra Serif" w:cs="PT Astra Serif"/>
            <w:color w:val="000000"/>
            <w:sz w:val="26"/>
            <w:szCs w:val="26"/>
          </w:rPr>
          <w:t>пунктом 13</w:t>
        </w:r>
      </w:hyperlink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настоящего Порядка, в срок не позднее пятнадцати рабочих дней с даты поступления документов на предоставление субсидии принимает решение о предоставлении субсидии и направляет в орган местного самоуправления муниципального образования Томской области уведомление о предоставлении субсидии.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16. Принятие Департаментом решения о предоставлении субсидии является основанием для заключения соглашения.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lastRenderedPageBreak/>
        <w:t>Соглашение заключается по типовой форме, утвержденной приказом Департамента финансов Томской области.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17. Изменение в распределение объемов субсидий между муниципальными образованиями без изменения общего объема субсидии осуществляется путем внесения изменений в бюджетную роспись Департамента без внесения изменений в закон об областном бюджете в следующих случаях: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перераспределение экономии, сложившейся у муниципального образования Томской области по итогам осуществления закупок;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изменение исходных показателей, используемых для расчета объема субсидий.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После внесения изменений в бюджетную роспись Департамент вносит изменения в соглашение в срок не позднее двадцати рабочих дней с даты внесения изменений в бюджетную роспись.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18. Объем финансового обеспечения за счет средств местного бюджета на исполнение расходного обязательства муниципального образования Томской области, в целях софинансирования которого предоставляется субсидия, может быть увеличен муниципальным образованием Томской области, что не влечет обязательств по увеличению размера предоставляемой субсидии из областного бюджета.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19. Для перечисления субсидии органы местного самоуправления муниципального образования Томской области направляют в Департамент заявку о перечислении средств субсидии с приложением документов (далее - документы для перечисления субсидии):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1) копии муниципального контракта на проведение комплексных кадастровых работ на территории муниципального образования Томской области;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2) выписок из местного бюджета или сводной бюджетной росписи местного бюджета о наличии бюджетных ассигнований на софинансирование расходных обязательств муниципальных образований Томской области, возникающих при проведении комплексных кадастровых работ на территории Томской области в границах муниципальных образований Томской области, в объеме, необходимом для соблюдения предельного уровня софинансирования, установленного </w:t>
      </w:r>
      <w:hyperlink w:anchor="P22" w:tooltip="7. Предельный уровень софинансирования Томской областью объема расходного обязательства муниципального образования Томской области, в целях софинансирования которого предоставляется субсидия, составляет 99 процентов от стоимости проведения комплексных кадастро" w:history="1">
        <w:r w:rsidRPr="00E8432E">
          <w:rPr>
            <w:rFonts w:ascii="PT Astra Serif" w:eastAsia="PT Astra Serif" w:hAnsi="PT Astra Serif" w:cs="PT Astra Serif"/>
            <w:color w:val="000000"/>
            <w:sz w:val="26"/>
            <w:szCs w:val="26"/>
          </w:rPr>
          <w:t>пунктом 7</w:t>
        </w:r>
      </w:hyperlink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настоящего Порядка.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20. Департамент в срок не позднее пяти рабочих дней с даты поступления документов для перечисления субсидии осуществляет перечисление субсидии.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21. Муниципальные образования Томской области представляют в Департамент отчет о достижении показателя результата использования субсидии, указанного в </w:t>
      </w:r>
      <w:hyperlink w:anchor="P36" w:tooltip="9. Показателем результата использования субсидии является количество объектов недвижимости в кадастровых кварталах, сведения о которых внесены в Единый государственный реестр недвижимости по результатам проведения комплексных кадастровых работ, единиц." w:history="1">
        <w:r w:rsidRPr="00E8432E">
          <w:rPr>
            <w:rFonts w:ascii="PT Astra Serif" w:eastAsia="PT Astra Serif" w:hAnsi="PT Astra Serif" w:cs="PT Astra Serif"/>
            <w:color w:val="000000"/>
            <w:sz w:val="26"/>
            <w:szCs w:val="26"/>
          </w:rPr>
          <w:t>пункте 9</w:t>
        </w:r>
      </w:hyperlink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 настоящего Порядка, с приложением: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1) копий актов выполненных работ, предусмотренных муниципальными контрактами на проведение комплексных кадастровых работ;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2) документов, предоставленных Управлением Росреестра по Томской области, подтверждающих количество объектов недвижимости в кадастровых кварталах, сведения о которых внесены в Единый государственный реестр недвижимости по результатам проведения комплексных кадастровых работ на территории Томской области.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Сроки и формы представления отчета о достижении показателя результата использования субсидии муниципальными образованиями Томской области устанавливаются соглашением.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 xml:space="preserve">22. В случае если муниципальным образованием Томской области по состоянию </w:t>
      </w: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lastRenderedPageBreak/>
        <w:t>на 31 декабря года предоставления субсидии не достигнуто значение показателя результата использования субсидии, установленное соглашением, в срок не позднее десяти рабочих дней с даты представления отчетности о достижении значения показателя результата использования субсидии по итогам отчетного финансового года Департамент направляет в орган местного самоуправления муниципального образования Томской области уведомление о возврате субсидии в областной бюджет (далее - уведомление).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Орган местного самоуправления муниципального образования Томской области на основании уведомления добровольно возвращает субсидию в срок, установленный в уведомлении, либо уведомляет Департамент об отказе в возврате субсидии.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В случае отказа органа местного самоуправления муниципального образования Томской области в возврате субсидии субсидия подлежит возврату в судебном порядке.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Объем средств, подлежащий возврату в областной бюджет в срок до 1 июня года, следующего за годом предоставления субсидии, рассчитывается по следующей формуле:</w:t>
      </w:r>
    </w:p>
    <w:p w:rsidR="001C43CF" w:rsidRPr="00E8432E" w:rsidRDefault="001C43CF">
      <w:pPr>
        <w:pStyle w:val="ConsPlusNormal"/>
        <w:spacing w:line="283" w:lineRule="atLeast"/>
        <w:jc w:val="both"/>
        <w:rPr>
          <w:rFonts w:ascii="PT Astra Serif" w:hAnsi="PT Astra Serif" w:cs="PT Astra Serif"/>
          <w:color w:val="000000"/>
          <w:sz w:val="26"/>
          <w:szCs w:val="26"/>
        </w:rPr>
      </w:pPr>
    </w:p>
    <w:p w:rsidR="001C43CF" w:rsidRPr="00E8432E" w:rsidRDefault="00B52691">
      <w:pPr>
        <w:pStyle w:val="ConsPlusNormal"/>
        <w:spacing w:line="283" w:lineRule="atLeast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Vв = (Vс x kv) x 0,1, где:</w:t>
      </w:r>
    </w:p>
    <w:p w:rsidR="001C43CF" w:rsidRPr="00E8432E" w:rsidRDefault="001C43CF">
      <w:pPr>
        <w:pStyle w:val="ConsPlusNormal"/>
        <w:spacing w:line="283" w:lineRule="atLeast"/>
        <w:jc w:val="both"/>
        <w:rPr>
          <w:rFonts w:ascii="PT Astra Serif" w:hAnsi="PT Astra Serif" w:cs="PT Astra Serif"/>
          <w:color w:val="000000"/>
          <w:sz w:val="26"/>
          <w:szCs w:val="26"/>
        </w:rPr>
      </w:pP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Vв - объем средств, подлежащих возврату в областной бюджет;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Vс - размер субсидии, предоставленной местному бюджету в отчетном финансовом году;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kv - коэффициент возврата субсидии, рассчитываемый по следующей формуле:</w:t>
      </w:r>
    </w:p>
    <w:p w:rsidR="001C43CF" w:rsidRPr="00E8432E" w:rsidRDefault="001C43CF">
      <w:pPr>
        <w:pStyle w:val="ConsPlusNormal"/>
        <w:spacing w:line="283" w:lineRule="atLeast"/>
        <w:jc w:val="both"/>
        <w:rPr>
          <w:rFonts w:ascii="PT Astra Serif" w:hAnsi="PT Astra Serif" w:cs="PT Astra Serif"/>
          <w:color w:val="000000"/>
          <w:sz w:val="26"/>
          <w:szCs w:val="26"/>
        </w:rPr>
      </w:pPr>
    </w:p>
    <w:p w:rsidR="001C43CF" w:rsidRPr="00E8432E" w:rsidRDefault="00B52691">
      <w:pPr>
        <w:pStyle w:val="ConsPlusNormal"/>
        <w:spacing w:line="283" w:lineRule="atLeast"/>
        <w:jc w:val="center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kv = 1 - T / S, где:</w:t>
      </w:r>
    </w:p>
    <w:p w:rsidR="001C43CF" w:rsidRPr="00E8432E" w:rsidRDefault="001C43CF">
      <w:pPr>
        <w:pStyle w:val="ConsPlusNormal"/>
        <w:spacing w:line="283" w:lineRule="atLeast"/>
        <w:jc w:val="both"/>
        <w:rPr>
          <w:rFonts w:ascii="PT Astra Serif" w:hAnsi="PT Astra Serif" w:cs="PT Astra Serif"/>
          <w:color w:val="000000"/>
          <w:sz w:val="26"/>
          <w:szCs w:val="26"/>
        </w:rPr>
      </w:pP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T - фактически достигнутое значение показателя результата использования субсидии на отчетную дату;</w:t>
      </w:r>
    </w:p>
    <w:p w:rsidR="001C43CF" w:rsidRPr="00E8432E" w:rsidRDefault="00B52691">
      <w:pPr>
        <w:pStyle w:val="ConsPlusNormal"/>
        <w:spacing w:line="283" w:lineRule="atLeast"/>
        <w:ind w:firstLine="540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 w:rsidRPr="00E8432E">
        <w:rPr>
          <w:rFonts w:ascii="PT Astra Serif" w:eastAsia="PT Astra Serif" w:hAnsi="PT Astra Serif" w:cs="PT Astra Serif"/>
          <w:color w:val="000000"/>
          <w:sz w:val="26"/>
          <w:szCs w:val="26"/>
        </w:rPr>
        <w:t>S - плановое значение показателя результата использования субсидии, установленное соглашением.</w:t>
      </w:r>
    </w:p>
    <w:sectPr w:rsidR="001C43CF" w:rsidRPr="00E8432E" w:rsidSect="001863BE">
      <w:headerReference w:type="default" r:id="rId9"/>
      <w:footerReference w:type="default" r:id="rId10"/>
      <w:headerReference w:type="first" r:id="rId11"/>
      <w:pgSz w:w="11905" w:h="16838"/>
      <w:pgMar w:top="1134" w:right="1134" w:bottom="1134" w:left="1134" w:header="737" w:footer="737" w:gutter="0"/>
      <w:pgNumType w:start="66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3CF" w:rsidRDefault="00B52691">
      <w:pPr>
        <w:spacing w:after="0" w:line="240" w:lineRule="auto"/>
      </w:pPr>
      <w:r>
        <w:separator/>
      </w:r>
    </w:p>
  </w:endnote>
  <w:endnote w:type="continuationSeparator" w:id="0">
    <w:p w:rsidR="001C43CF" w:rsidRDefault="00B52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CF" w:rsidRDefault="001C43CF">
    <w:pPr>
      <w:pStyle w:val="ad"/>
      <w:jc w:val="center"/>
    </w:pPr>
  </w:p>
  <w:p w:rsidR="001C43CF" w:rsidRDefault="001C43C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3CF" w:rsidRDefault="00B52691">
      <w:pPr>
        <w:spacing w:after="0" w:line="240" w:lineRule="auto"/>
      </w:pPr>
      <w:r>
        <w:separator/>
      </w:r>
    </w:p>
  </w:footnote>
  <w:footnote w:type="continuationSeparator" w:id="0">
    <w:p w:rsidR="001C43CF" w:rsidRDefault="00B52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CF" w:rsidRPr="00B52691" w:rsidRDefault="00E8432E" w:rsidP="00B52691">
    <w:pPr>
      <w:pStyle w:val="ab"/>
      <w:jc w:val="center"/>
      <w:rPr>
        <w:rFonts w:ascii="PT Astra Serif" w:hAnsi="PT Astra Serif"/>
        <w:sz w:val="24"/>
        <w:szCs w:val="24"/>
      </w:rPr>
    </w:pPr>
    <w:r w:rsidRPr="00E8432E">
      <w:rPr>
        <w:rFonts w:ascii="PT Astra Serif" w:hAnsi="PT Astra Serif"/>
        <w:sz w:val="24"/>
        <w:szCs w:val="24"/>
      </w:rPr>
      <w:fldChar w:fldCharType="begin"/>
    </w:r>
    <w:r w:rsidRPr="00E8432E">
      <w:rPr>
        <w:rFonts w:ascii="PT Astra Serif" w:hAnsi="PT Astra Serif"/>
        <w:sz w:val="24"/>
        <w:szCs w:val="24"/>
      </w:rPr>
      <w:instrText>PAGE   \* MERGEFORMAT</w:instrText>
    </w:r>
    <w:r w:rsidRPr="00E8432E">
      <w:rPr>
        <w:rFonts w:ascii="PT Astra Serif" w:hAnsi="PT Astra Serif"/>
        <w:sz w:val="24"/>
        <w:szCs w:val="24"/>
      </w:rPr>
      <w:fldChar w:fldCharType="separate"/>
    </w:r>
    <w:r w:rsidR="001863BE">
      <w:rPr>
        <w:rFonts w:ascii="PT Astra Serif" w:hAnsi="PT Astra Serif"/>
        <w:noProof/>
        <w:sz w:val="24"/>
        <w:szCs w:val="24"/>
      </w:rPr>
      <w:t>664</w:t>
    </w:r>
    <w:r w:rsidRPr="00E8432E">
      <w:rPr>
        <w:rFonts w:ascii="PT Astra Serif" w:hAnsi="PT Astra Serif"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CF" w:rsidRPr="00B52691" w:rsidRDefault="001863BE" w:rsidP="001863BE">
    <w:pPr>
      <w:pStyle w:val="ab"/>
      <w:spacing w:after="0"/>
      <w:jc w:val="center"/>
      <w:rPr>
        <w:rFonts w:ascii="PT Astra Serif" w:hAnsi="PT Astra Serif"/>
        <w:sz w:val="24"/>
        <w:szCs w:val="24"/>
      </w:rPr>
    </w:pPr>
    <w:r w:rsidRPr="001863BE">
      <w:rPr>
        <w:rFonts w:ascii="PT Astra Serif" w:hAnsi="PT Astra Serif"/>
        <w:sz w:val="24"/>
        <w:szCs w:val="24"/>
      </w:rPr>
      <w:fldChar w:fldCharType="begin"/>
    </w:r>
    <w:r w:rsidRPr="001863BE">
      <w:rPr>
        <w:rFonts w:ascii="PT Astra Serif" w:hAnsi="PT Astra Serif"/>
        <w:sz w:val="24"/>
        <w:szCs w:val="24"/>
      </w:rPr>
      <w:instrText>PAGE   \* MERGEFORMAT</w:instrText>
    </w:r>
    <w:r w:rsidRPr="001863BE"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sz w:val="24"/>
        <w:szCs w:val="24"/>
      </w:rPr>
      <w:t>661</w:t>
    </w:r>
    <w:r w:rsidRPr="001863BE">
      <w:rPr>
        <w:rFonts w:ascii="PT Astra Serif" w:hAnsi="PT Astra Serif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43CF"/>
    <w:rsid w:val="001863BE"/>
    <w:rsid w:val="001C43CF"/>
    <w:rsid w:val="00B52691"/>
    <w:rsid w:val="00E84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szCs w:val="22"/>
    </w:rPr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  <w:szCs w:val="22"/>
    </w:r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paragraph" w:customStyle="1" w:styleId="docdatadocyv519485bqiaagaaeyqcaaagiaiaaao6swaabchlaaaaaaaaaaaaaaaaaaaaaaaaaaaaaaaaaaaaaaaaaaaaaaaaaaaaaaaaaaaaaaaaaaaaaaaaaaaaaaaaaaaaaaaaaaaaaaaaaaaaaaaaaaaaaaaaaaaaaaaaaaaaaaaaaaaaaaaaaaaaaaaaaaaaaaaaaaaaaaaaaaaaaaaaaaaaaaaaaaaaaaaaaaaaaaaaaaaaaaa">
    <w:name w:val="docdata;docy;v5;19485;bqiaagaaeyqcaaagiaiaaao6swaabchl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ff">
    <w:name w:val="Нормальный (таблица)"/>
    <w:basedOn w:val="a"/>
    <w:next w:val="a"/>
    <w:uiPriority w:val="99"/>
    <w:pPr>
      <w:widowControl w:val="0"/>
      <w:spacing w:after="0" w:line="240" w:lineRule="auto"/>
      <w:jc w:val="both"/>
    </w:pPr>
    <w:rPr>
      <w:rFonts w:ascii="Times New Roman CYR" w:eastAsia="Arial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5DDE0-7457-4E1A-98CC-AC3375BC7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2167</Words>
  <Characters>12353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 Ольга Александровна</dc:creator>
  <cp:lastModifiedBy>Ширина Светлана Николаевна (shsn)</cp:lastModifiedBy>
  <cp:revision>49</cp:revision>
  <dcterms:created xsi:type="dcterms:W3CDTF">2024-09-06T01:40:00Z</dcterms:created>
  <dcterms:modified xsi:type="dcterms:W3CDTF">2025-09-24T03:40:00Z</dcterms:modified>
  <cp:version>917504</cp:version>
</cp:coreProperties>
</file>